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nsPlusTitle"/>
        <w:jc w:val="center"/>
        <w:rPr>
          <w:rFonts w:ascii="Times New Roman" w:hAnsi="Times New Roman" w:cs="Times New Roman"/>
          <w:b w:val="false"/>
          <w:b w:val="false"/>
          <w:sz w:val="28"/>
          <w:szCs w:val="28"/>
        </w:rPr>
      </w:pPr>
      <w:bookmarkStart w:id="0" w:name="P859"/>
      <w:bookmarkEnd w:id="0"/>
      <w:r>
        <w:rPr>
          <w:rFonts w:cs="Times New Roman" w:ascii="Times New Roman" w:hAnsi="Times New Roman"/>
          <w:b w:val="false"/>
          <w:sz w:val="28"/>
          <w:szCs w:val="28"/>
        </w:rPr>
        <w:t>СОГЛАШЕНИЕ</w:t>
      </w:r>
    </w:p>
    <w:p>
      <w:pPr>
        <w:pStyle w:val="Normal"/>
        <w:spacing w:lineRule="auto" w:line="240" w:before="0" w:after="0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 трудоустройстве инвалидов</w:t>
      </w:r>
    </w:p>
    <w:p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г. Кострома</w:t>
      </w:r>
    </w:p>
    <w:p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«___» _______________ 20___ г.                                                   № _________________</w:t>
      </w:r>
    </w:p>
    <w:p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cs="Times New Roman" w:ascii="Times New Roman" w:hAnsi="Times New Roman"/>
          <w:sz w:val="28"/>
          <w:szCs w:val="28"/>
          <w:u w:val="single"/>
        </w:rPr>
      </w:r>
    </w:p>
    <w:p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_____________________________________________________________________________________________________________________________________________________________________________________________________________________,</w:t>
      </w:r>
    </w:p>
    <w:p>
      <w:pPr>
        <w:pStyle w:val="ConsPlusNonformat"/>
        <w:ind w:firstLine="70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(наименование для юридического лица, фамилия, имя, отчество (при наличии) для индивидуального предпринимателя)</w:t>
      </w:r>
    </w:p>
    <w:p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именуем ___ в дальнейшем «Направляющая сторона», в лице _______________________________________________________________________________________________________________________________________________________________________________________________________________________, действующего на основании ________________________________________________</w:t>
      </w:r>
    </w:p>
    <w:p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_______________________________________________________________________, с одной стороны, и ________________________________________________________</w:t>
      </w:r>
    </w:p>
    <w:p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_____________________________________________________________________________________________________________________________________________,</w:t>
      </w:r>
    </w:p>
    <w:p>
      <w:pPr>
        <w:pStyle w:val="ConsPlusNonformat"/>
        <w:ind w:firstLine="70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(наименование для юридического лица, фамилия, имя, отчество (при наличии) для индивидуального предпринимателя)</w:t>
      </w:r>
    </w:p>
    <w:p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именуем ___ в дальнейшем «Принимающая сторона», в лице _______________________________________________________________________________________________________________________________________________________________________________________________________________________, действующего на основании ________________________________________________</w:t>
      </w:r>
    </w:p>
    <w:p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_______________________________________________________________________,</w:t>
      </w:r>
    </w:p>
    <w:p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 другой стороны, далее вместе именуемые «Стороны», заключили настоящее Соглашение о нижеследующем.</w:t>
      </w:r>
    </w:p>
    <w:p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</w:rPr>
      </w:pPr>
      <w:bookmarkStart w:id="1" w:name="P918"/>
      <w:bookmarkEnd w:id="1"/>
      <w:r>
        <w:rPr>
          <w:rFonts w:cs="Times New Roman" w:ascii="Times New Roman" w:hAnsi="Times New Roman"/>
          <w:sz w:val="28"/>
          <w:szCs w:val="28"/>
        </w:rPr>
        <w:t>Общие положения</w:t>
      </w:r>
    </w:p>
    <w:p>
      <w:pPr>
        <w:pStyle w:val="ConsPlusNonformat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Настоящее Соглашение заключено в целях реализации Направляющей стороной требований законодательства Российской Федерации и законодательства Костромской области в части квотирования рабочих мест для трудоустройства инвалидов.</w:t>
      </w:r>
    </w:p>
    <w:p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I</w:t>
      </w:r>
      <w:r>
        <w:rPr>
          <w:rFonts w:cs="Times New Roman" w:ascii="Times New Roman" w:hAnsi="Times New Roman"/>
          <w:sz w:val="28"/>
          <w:szCs w:val="28"/>
          <w:lang w:val="en-US"/>
        </w:rPr>
        <w:t>I</w:t>
      </w:r>
      <w:r>
        <w:rPr>
          <w:rFonts w:cs="Times New Roman" w:ascii="Times New Roman" w:hAnsi="Times New Roman"/>
          <w:sz w:val="28"/>
          <w:szCs w:val="28"/>
        </w:rPr>
        <w:t>. Предмет Соглашения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2.1. Предметом настоящего Соглашения является оказание услуг Принимающей стороной по трудоустройству на возмездной основе  инвалидов в счет квоты, установленной для Направляющей стороны, в количестве ______ человек.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II</w:t>
      </w:r>
      <w:r>
        <w:rPr>
          <w:rFonts w:cs="Times New Roman" w:ascii="Times New Roman" w:hAnsi="Times New Roman"/>
          <w:sz w:val="28"/>
          <w:szCs w:val="28"/>
          <w:lang w:val="en-US"/>
        </w:rPr>
        <w:t>I</w:t>
      </w:r>
      <w:r>
        <w:rPr>
          <w:rFonts w:cs="Times New Roman" w:ascii="Times New Roman" w:hAnsi="Times New Roman"/>
          <w:sz w:val="28"/>
          <w:szCs w:val="28"/>
        </w:rPr>
        <w:t>. Права и обязанности сторон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930"/>
      <w:bookmarkEnd w:id="2"/>
      <w:r>
        <w:rPr>
          <w:rFonts w:cs="Times New Roman" w:ascii="Times New Roman" w:hAnsi="Times New Roman"/>
          <w:sz w:val="28"/>
          <w:szCs w:val="28"/>
        </w:rPr>
        <w:t>3.1.  Принимающая сторона обязана: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3.1.1. Выделять (создавать) или обеспечивать сохранение существующих рабочих мест для трудоустройства инвалидов, соответствующих государственным нормативным требованиям охраны труда, требованиям пожарной безопасности, гигиеническим требованиям к условиям труда инвалидов, индивидуальным программам реабилитации или абилитации инвалидов, в количестве ___ человек. 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3.1.2. Трудоустраивать на  выделенные (созданные) или существующие рабочие места инвалидов в счет квоты, установленной Направляющей стороне, путем заключения трудовых договоров с инвалидами в соответствии с требованиями трудового законодательства Российской Федерации на неопределенный срок в количестве ____ человек.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3.1.3. В срок не позднее 3 (трех) рабочих дней со дня трудоустройства в рамках настоящего Соглашения инвалидов предоставить Направляющей стороне заверенные копии трудовых договоров, приказов о приеме на работу инвалидов, заключенные в рамках настоящего Соглашению, и Акт о выполнении обязательств по трудоустройству инвалидов по форме согласно Приложению № 1 к настоящему Соглашению.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3.1.4. Обеспечивать своевременную выплату заработной платы трудоустроенным в рамках настоящего Соглашения инвалидам, предоставлять им гарантии и компенсации в соответствии с трудовым законодательством, коллективным договором и локальными нормативными правовыми актами. 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3.1.5. В течение всего срока действия Соглашения поддерживать количество трудоустроенных инвалидов, указанное  в пункте 2.1настоящего Соглашения.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3.1.6. До окончания срока действия настоящего Соглашения не увольнять работников, принятых на рабочие места в рамках настоящего Соглашения, по сокращению численности или штата работников.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3.1.7. В случае прекращения трудовых отношений с работником-инвалидом, трудоустроенным в рамках настоящего Соглашения: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3.1.7.1 в течение 3 (трех) рабочих дней письменно уведомить об этом Направляющую сторону;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3.1.7.2. зарезервировать освобожденное рабочее место для приема на работу инвалида в пределах установленной  Направляющей стороне квоты;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3.1.7.3. трудоустроить на освобожденное рабочее место гражданина из числа инвалидов в срок не позднее _______.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3.1.8.  Принимать исчерпывающие меры по подбору инвалидов, в том числе на освобожденные рабочие места в результате расторжения трудового договора с инвалидом, заключенного в рамках настоящего Соглашения, в том числе путем представления в центр занятости населения по месту своего нахождения через Единую цифровую платформу в сфере занятости и трудовых отношений «Работа в России» заявления о содействии в подборе необходимых работников и информации о вакансиях для приема на работу инвалидов.  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3.1.9. Представлять ежемесячно Направляющей стороне Смету на организацию трудоустройства инвалидов за отчетный период по форме согласно Приложению № 2 к настоящему Соглашению, Акт оказанных услуг по трудоустройству инвалидов  за отчетный период по форме согласно Приложению № 3 к настоящему Соглашению, Список работающих инвалидов по форме согласно Приложению № 4 к настоящему Соглашению в сроки, установленные в Разделе </w:t>
      </w:r>
      <w:r>
        <w:rPr>
          <w:rFonts w:cs="Times New Roman" w:ascii="Times New Roman" w:hAnsi="Times New Roman"/>
          <w:sz w:val="28"/>
          <w:szCs w:val="28"/>
          <w:lang w:val="en-US"/>
        </w:rPr>
        <w:t>IV</w:t>
      </w:r>
      <w:r>
        <w:rPr>
          <w:rFonts w:cs="Times New Roman" w:ascii="Times New Roman" w:hAnsi="Times New Roman"/>
          <w:sz w:val="28"/>
          <w:szCs w:val="28"/>
        </w:rPr>
        <w:t xml:space="preserve"> настоящего Соглашения с приложением заверенных копий следующих документов:</w:t>
      </w:r>
    </w:p>
    <w:p>
      <w:pPr>
        <w:pStyle w:val="Normal"/>
        <w:suppressAutoHyphens w:val="false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>табелей учета рабочего времени;</w:t>
      </w:r>
    </w:p>
    <w:p>
      <w:pPr>
        <w:pStyle w:val="Normal"/>
        <w:suppressAutoHyphens w:val="false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>расчетных ведомостей с указанием видов произведенных начислений;</w:t>
      </w:r>
    </w:p>
    <w:p>
      <w:pPr>
        <w:pStyle w:val="Normal"/>
        <w:suppressAutoHyphens w:val="false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>ведомостей по оплате труда инвалида с подписью получателя (расходного кассового ордера, платежного поручения на перечисление средств на лицевой счет работника, а в случае перечисления группе сотрудников одним платежным поручением - платежного поручения и реестра на перечисление);</w:t>
      </w:r>
    </w:p>
    <w:p>
      <w:pPr>
        <w:pStyle w:val="Normal"/>
        <w:suppressAutoHyphens w:val="false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>платежных документов о перечислении страховых взносов в соответствии с главой 34 Налогового кодекса Российской Федерации и законодательством Российской Федерации об обязательном социальном страховании от несчастных случаев на производстве и профессиональных заболеваний;</w:t>
      </w:r>
    </w:p>
    <w:p>
      <w:pPr>
        <w:pStyle w:val="Normal"/>
        <w:suppressAutoHyphens w:val="false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>документов, подтверждающих фактические затраты на оборудование (оснащение) рабочих мест в рамках настоящего Соглашения (при наличии);</w:t>
      </w:r>
    </w:p>
    <w:p>
      <w:pPr>
        <w:pStyle w:val="Normal"/>
        <w:suppressAutoHyphens w:val="false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>иные документы, подтверждающие расходы в рамках настоящего Соглашения.</w:t>
      </w:r>
    </w:p>
    <w:p>
      <w:pPr>
        <w:pStyle w:val="Normal"/>
        <w:suppressAutoHyphens w:val="false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>3.1.10. По требованию Направляющей стороны (не чаще одного раза в месяц) обеспечивать доступ представителей Направляющей стороны на территорию и к документам Принимающей стороны с целью проверки соблюдения Принимающей стороной обязательств по настоящему Соглашению.</w:t>
      </w:r>
    </w:p>
    <w:p>
      <w:pPr>
        <w:pStyle w:val="Normal"/>
        <w:suppressAutoHyphens w:val="false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>3.2. Принимающая сторона имеет право:</w:t>
      </w:r>
    </w:p>
    <w:p>
      <w:pPr>
        <w:pStyle w:val="Normal"/>
        <w:suppressAutoHyphens w:val="false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>3.2.1. В рамках настоящего Соглашения принимать на работу граждан из числа инвалидов, непосредственно обратившихся к Принимающей стороне, на равных основаниях с гражданами из числа инвалидов, имеющими направление органов службы занятости, а также с гражданами, направленными Направляющей стороной.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3.2.2. Организовывать сопровождение инвалидов при содействии в трудоустройстве (в том числе доставка до места работы и обратно, по территории Принимающей стороны).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3.2.3. Организовывать закрепление за трудоустроенными в рамках настоящего Соглашения инвалидами наставников.</w:t>
      </w:r>
    </w:p>
    <w:p>
      <w:pPr>
        <w:pStyle w:val="Normal"/>
        <w:suppressAutoHyphens w:val="false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>3.2.4. Направлять инвалидов, трудоустроенных в рамках настоящего Соглашения, на профессиональное обучение или дополнительное профессиональное образование.</w:t>
      </w:r>
    </w:p>
    <w:p>
      <w:pPr>
        <w:pStyle w:val="Normal"/>
        <w:suppressAutoHyphens w:val="false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>3.2.5. Требовать от Направляющей стороны качественного и своевременного исполнения обязательств по настоящему Соглашению.</w:t>
      </w:r>
    </w:p>
    <w:p>
      <w:pPr>
        <w:pStyle w:val="Normal"/>
        <w:suppressAutoHyphens w:val="false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>3.2.6. Отказаться от исполнения настоящего Соглашения при несоблюдении Направляющей стороной сроков финансирования расходов Принимающей стороны.</w:t>
      </w:r>
    </w:p>
    <w:p>
      <w:pPr>
        <w:pStyle w:val="Normal"/>
        <w:suppressAutoHyphens w:val="false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>3.3. Направляющая сторона обязана:</w:t>
      </w:r>
    </w:p>
    <w:p>
      <w:pPr>
        <w:pStyle w:val="Normal"/>
        <w:suppressAutoHyphens w:val="false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 xml:space="preserve">3.3.1. Ежемесячно производить возмещение затрат Направляющей стороны в сроки и в порядке, установленные настоящим Соглашением, в соответствии со Сметой </w:t>
      </w:r>
      <w:r>
        <w:rPr>
          <w:rFonts w:cs="Times New Roman" w:ascii="Times New Roman" w:hAnsi="Times New Roman"/>
          <w:sz w:val="28"/>
          <w:szCs w:val="28"/>
        </w:rPr>
        <w:t>на организацию трудоустройства инвалидов за отчетный период</w:t>
      </w: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>.</w:t>
      </w:r>
    </w:p>
    <w:p>
      <w:pPr>
        <w:pStyle w:val="Normal"/>
        <w:suppressAutoHyphens w:val="false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>3.4. Направляющая сторона имеет право:</w:t>
      </w:r>
    </w:p>
    <w:p>
      <w:pPr>
        <w:pStyle w:val="Normal"/>
        <w:suppressAutoHyphens w:val="false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>3.4.1. Направлять Принимающей стороне инвалидов для трудоустройства в счет квоты, установленной Направляющей стороне.</w:t>
      </w:r>
    </w:p>
    <w:p>
      <w:pPr>
        <w:pStyle w:val="Normal"/>
        <w:suppressAutoHyphens w:val="false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>3.4.2. Требовать от Принимающей стороны качественного и своевременного исполнения обязательств по настоящему Соглашению.</w:t>
      </w:r>
    </w:p>
    <w:p>
      <w:pPr>
        <w:pStyle w:val="Normal"/>
        <w:suppressAutoHyphens w:val="false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>3.4.3. Осуществлять контроль за выполнением Принимающей стороной обязательств в рамках настоящего Соглашения.</w:t>
      </w:r>
    </w:p>
    <w:p>
      <w:pPr>
        <w:pStyle w:val="Normal"/>
        <w:suppressAutoHyphens w:val="false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>3.4.4. Запрашивать у Принимающей стороны информацию и документы о реализации настоящего Соглашения.</w:t>
      </w:r>
    </w:p>
    <w:p>
      <w:pPr>
        <w:pStyle w:val="Normal"/>
        <w:suppressAutoHyphens w:val="false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  <w:t xml:space="preserve">3.4.5. </w:t>
      </w:r>
      <w:r>
        <w:rPr>
          <w:rFonts w:cs="Times New Roman" w:ascii="Times New Roman" w:hAnsi="Times New Roman"/>
          <w:sz w:val="28"/>
          <w:szCs w:val="28"/>
        </w:rPr>
        <w:t xml:space="preserve">Отказаться от исполнения настоящего Соглашения в случае незаконного увольнения инвалидов, трудоустроенных в рамках настоящего Соглашения, или в случае нарушения пункта 3.1.6 настоящего Соглашения или в связи с незаконным отказом от приема на работу инвалида, направленного Направляющей стороной для трудоустройства в счет установленной Направляющей стороне квоты.   </w:t>
      </w:r>
    </w:p>
    <w:p>
      <w:pPr>
        <w:pStyle w:val="Normal"/>
        <w:suppressAutoHyphens w:val="false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kern w:val="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ru-RU"/>
        </w:rPr>
      </w:r>
    </w:p>
    <w:p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P949"/>
      <w:bookmarkEnd w:id="3"/>
      <w:r>
        <w:rPr>
          <w:rFonts w:cs="Times New Roman" w:ascii="Times New Roman" w:hAnsi="Times New Roman"/>
          <w:sz w:val="28"/>
          <w:szCs w:val="28"/>
        </w:rPr>
        <w:t>I</w:t>
      </w:r>
      <w:r>
        <w:rPr>
          <w:rFonts w:cs="Times New Roman" w:ascii="Times New Roman" w:hAnsi="Times New Roman"/>
          <w:sz w:val="28"/>
          <w:szCs w:val="28"/>
          <w:lang w:val="en-US"/>
        </w:rPr>
        <w:t>V</w:t>
      </w:r>
      <w:r>
        <w:rPr>
          <w:rFonts w:cs="Times New Roman" w:ascii="Times New Roman" w:hAnsi="Times New Roman"/>
          <w:sz w:val="28"/>
          <w:szCs w:val="28"/>
        </w:rPr>
        <w:t>. Порядок расчетов между Сторонами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4.1. Отчетным периодом по настоящему Соглашению является календарный месяц.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4.2. Общая сумма затрат Принимающей стороны в рамках настоящего Соглашения складывается из отдельных затрат Принимающей стороны, указанных в Смете на организацию трудоустройства инвалидов.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4.3. Ежемесячно в срок не позднее ___ рабочих дней месяца, следующего за отчетным, Принимающая сторона предоставляет Направляющей стороне документы, указанные в пункте 3.1.9 настоящего Соглашения.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4.4. Финансирование расходов по настоящему Соглашению производится Направляющей стороной путем ежемесячного перечисления средств на расчетный счет Принимающей стороны до ________ каждого месяца, следующего за отчетным, на основании выставленного Принимающей стороной счета с приложением документов, указанных в пункте 3.1.9 настоящего Соглашения.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4.5. В случае нарушения Принимающей стороной пункта 3.1.6 настоящего Соглашения, или в случае ликвидации Принимающей стороны, или в случае увольнения инвалида, принятого на работу Принимающей стороной в рамках настоящего соглашения, до окончания срока действия Соглашения вследствие отказа работника от продолжения работы в связи с изменением условий трудового договора, а также в иных случаях увольнения работника по инициативе  Принимающей стороны, гарантии и компенсации, подлежащие предоставлению уволенному работнику Принимающей стороной,  возмещению Направляющей стороной не подлежат</w:t>
      </w:r>
    </w:p>
    <w:p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V. Ответственность Сторон</w:t>
      </w:r>
    </w:p>
    <w:p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5.1. 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>
      <w:pPr>
        <w:pStyle w:val="Normal"/>
        <w:suppressAutoHyphens w:val="false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5.2. Стороны обязуются письменно уведомлять друг друга об изменениях своих юридических и почтовых адресов, реквизитов, указанных в настоящем Соглашении, обстоятельств, которые могут оказать влияние на исполнение Сторонами своих обязательств по настоящему Соглашению, в течение 3 (трех) рабочих дней со дня возникновения изменений.</w:t>
      </w:r>
    </w:p>
    <w:p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VI. Заключительные положения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6.1. 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соответствующих протоколов или иных документов.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 недостижении согласия споры между Сторонами решаются в судебном порядке.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6.2. Настоящее Соглашение вступает в силу с даты его подписания лицами, имеющими право действовать от имени каждой из Сторон, и действует до «___» __________ 20___г.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6.3. Изменение настоящего Соглашения осуществляется по соглашению сторон и оформляется в виде дополнительного соглашения к настоящему Соглашению, являющегося неотъемлемой частью настоящего Соглашения.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6.4. Расторжение настоящего Соглашения осуществляется: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6.4.1. В одностороннем порядке.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6.4.1.1. В случае реорганизации или прекращения деятельности одной из Сторон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6.4.1.2. В случаях, предусмотренных в пунктах 3.2.6 и 3.4.5 настоящего Соглашения.  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6.4.2. По соглашению Сторон.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6.5. Документы и иная информация, предусмотренные настоящим Соглашением, могут направляться Сторонами заказным письмом с уведомлением о вручении либо вручением представителем одной Стороны подлинников документов, иной информации представителю другой Стороны.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6.6. Настоящее Соглашение заключено Сторонами в форме бумажного документа в двух экземплярах, имеющих равную юридическую силу, по одному экземпляру для каждой из Сторон.</w:t>
      </w:r>
    </w:p>
    <w:p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4" w:name="P1199"/>
      <w:bookmarkEnd w:id="4"/>
      <w:r>
        <w:rPr>
          <w:rFonts w:cs="Times New Roman" w:ascii="Times New Roman" w:hAnsi="Times New Roman"/>
          <w:sz w:val="28"/>
          <w:szCs w:val="28"/>
        </w:rPr>
        <w:t>VII. Платежные реквизиты Сторон</w:t>
      </w:r>
    </w:p>
    <w:p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10314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070"/>
        <w:gridCol w:w="5243"/>
      </w:tblGrid>
      <w:tr>
        <w:trPr>
          <w:trHeight w:val="687" w:hRule="atLeast"/>
        </w:trPr>
        <w:tc>
          <w:tcPr>
            <w:tcW w:w="5070" w:type="dxa"/>
            <w:tcBorders/>
          </w:tcPr>
          <w:p>
            <w:pPr>
              <w:pStyle w:val="ConsPlusNormal"/>
              <w:widowControl/>
              <w:tabs>
                <w:tab w:val="clear" w:pos="708"/>
                <w:tab w:val="left" w:pos="1276" w:leader="none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Полное наименование Направляющей стороны</w:t>
            </w:r>
          </w:p>
        </w:tc>
        <w:tc>
          <w:tcPr>
            <w:tcW w:w="5243" w:type="dxa"/>
            <w:tcBorders/>
          </w:tcPr>
          <w:p>
            <w:pPr>
              <w:pStyle w:val="ConsPlusNormal"/>
              <w:widowControl/>
              <w:tabs>
                <w:tab w:val="clear" w:pos="708"/>
                <w:tab w:val="left" w:pos="1276" w:leader="none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Полное наименование Принимающей стороны</w:t>
            </w:r>
          </w:p>
        </w:tc>
      </w:tr>
      <w:tr>
        <w:trPr>
          <w:trHeight w:val="769" w:hRule="atLeast"/>
        </w:trPr>
        <w:tc>
          <w:tcPr>
            <w:tcW w:w="5070" w:type="dxa"/>
            <w:tcBorders/>
          </w:tcPr>
          <w:p>
            <w:pPr>
              <w:pStyle w:val="ConsPlusNormal"/>
              <w:widowControl/>
              <w:tabs>
                <w:tab w:val="clear" w:pos="708"/>
                <w:tab w:val="left" w:pos="1276" w:leader="none"/>
              </w:tabs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Сокращенное наименование Направляющей стороны</w:t>
            </w:r>
          </w:p>
        </w:tc>
        <w:tc>
          <w:tcPr>
            <w:tcW w:w="5243" w:type="dxa"/>
            <w:tcBorders/>
          </w:tcPr>
          <w:p>
            <w:pPr>
              <w:pStyle w:val="ConsPlusNormal"/>
              <w:widowControl/>
              <w:tabs>
                <w:tab w:val="clear" w:pos="708"/>
                <w:tab w:val="left" w:pos="1276" w:leader="none"/>
              </w:tabs>
              <w:jc w:val="center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Сокращенное наименование Принимающей стороны</w:t>
            </w:r>
          </w:p>
        </w:tc>
      </w:tr>
      <w:tr>
        <w:trPr>
          <w:trHeight w:val="2916" w:hRule="atLeast"/>
        </w:trPr>
        <w:tc>
          <w:tcPr>
            <w:tcW w:w="5070" w:type="dxa"/>
            <w:tcBorders/>
          </w:tcPr>
          <w:p>
            <w:pPr>
              <w:pStyle w:val="ConsPlusNormal"/>
              <w:widowControl/>
              <w:tabs>
                <w:tab w:val="clear" w:pos="708"/>
                <w:tab w:val="left" w:pos="1276" w:leader="none"/>
              </w:tabs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</w:r>
          </w:p>
          <w:p>
            <w:pPr>
              <w:pStyle w:val="ConsPlusNormal"/>
              <w:widowControl/>
              <w:tabs>
                <w:tab w:val="clear" w:pos="708"/>
                <w:tab w:val="left" w:pos="1276" w:leader="none"/>
              </w:tabs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 xml:space="preserve">Юридический/Фактический адрес  </w:t>
            </w:r>
          </w:p>
          <w:p>
            <w:pPr>
              <w:pStyle w:val="ConsPlusNormal"/>
              <w:widowControl/>
              <w:tabs>
                <w:tab w:val="clear" w:pos="708"/>
                <w:tab w:val="left" w:pos="1276" w:leader="none"/>
              </w:tabs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</w:r>
          </w:p>
          <w:p>
            <w:pPr>
              <w:pStyle w:val="ConsPlusNormal"/>
              <w:widowControl/>
              <w:tabs>
                <w:tab w:val="clear" w:pos="708"/>
                <w:tab w:val="left" w:pos="1276" w:leader="none"/>
              </w:tabs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Платежные реквизиты</w:t>
            </w:r>
          </w:p>
          <w:p>
            <w:pPr>
              <w:pStyle w:val="ConsPlusNormal"/>
              <w:widowControl/>
              <w:tabs>
                <w:tab w:val="clear" w:pos="708"/>
                <w:tab w:val="left" w:pos="1276" w:leader="none"/>
              </w:tabs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</w:r>
          </w:p>
          <w:p>
            <w:pPr>
              <w:pStyle w:val="ConsPlusNormal"/>
              <w:widowControl/>
              <w:tabs>
                <w:tab w:val="clear" w:pos="708"/>
                <w:tab w:val="left" w:pos="1276" w:leader="none"/>
              </w:tabs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Телефон/Факс</w:t>
            </w:r>
          </w:p>
          <w:p>
            <w:pPr>
              <w:pStyle w:val="ConsPlusNormal"/>
              <w:widowControl/>
              <w:tabs>
                <w:tab w:val="clear" w:pos="708"/>
                <w:tab w:val="left" w:pos="1276" w:leader="none"/>
              </w:tabs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</w:r>
          </w:p>
          <w:p>
            <w:pPr>
              <w:pStyle w:val="ConsPlusNormal"/>
              <w:widowControl/>
              <w:tabs>
                <w:tab w:val="clear" w:pos="708"/>
                <w:tab w:val="left" w:pos="1276" w:leader="none"/>
              </w:tabs>
              <w:jc w:val="both"/>
              <w:rPr>
                <w:rFonts w:ascii="Times New Roman" w:hAnsi="Times New Roman"/>
                <w:iCs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Адрес электронной почты</w:t>
            </w:r>
          </w:p>
        </w:tc>
        <w:tc>
          <w:tcPr>
            <w:tcW w:w="5243" w:type="dxa"/>
            <w:tcBorders/>
          </w:tcPr>
          <w:p>
            <w:pPr>
              <w:pStyle w:val="ConsPlusNormal"/>
              <w:widowControl/>
              <w:tabs>
                <w:tab w:val="clear" w:pos="708"/>
                <w:tab w:val="left" w:pos="1276" w:leader="none"/>
              </w:tabs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</w:r>
          </w:p>
          <w:p>
            <w:pPr>
              <w:pStyle w:val="ConsPlusNormal"/>
              <w:widowControl/>
              <w:tabs>
                <w:tab w:val="clear" w:pos="708"/>
                <w:tab w:val="left" w:pos="1276" w:leader="none"/>
              </w:tabs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 xml:space="preserve">Юридический/Фактический адрес  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ConsPlusNormal"/>
              <w:widowControl/>
              <w:tabs>
                <w:tab w:val="clear" w:pos="708"/>
                <w:tab w:val="left" w:pos="1276" w:leader="none"/>
              </w:tabs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Платежные реквизиты</w:t>
            </w:r>
          </w:p>
          <w:p>
            <w:pPr>
              <w:pStyle w:val="Normal"/>
              <w:shd w:val="clear" w:color="auto" w:fill="FFFFFF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 </w:t>
            </w:r>
          </w:p>
          <w:p>
            <w:pPr>
              <w:pStyle w:val="ConsPlusNormal"/>
              <w:widowControl/>
              <w:tabs>
                <w:tab w:val="clear" w:pos="708"/>
                <w:tab w:val="left" w:pos="1276" w:leader="none"/>
              </w:tabs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Телефон/Факс</w:t>
            </w:r>
          </w:p>
          <w:p>
            <w:pPr>
              <w:pStyle w:val="ConsPlusNormal"/>
              <w:widowControl/>
              <w:tabs>
                <w:tab w:val="clear" w:pos="708"/>
                <w:tab w:val="left" w:pos="1276" w:leader="none"/>
              </w:tabs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</w:r>
          </w:p>
          <w:p>
            <w:pPr>
              <w:pStyle w:val="ConsPlusNormal"/>
              <w:widowControl/>
              <w:tabs>
                <w:tab w:val="clear" w:pos="708"/>
                <w:tab w:val="left" w:pos="1276" w:leader="none"/>
              </w:tabs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Адрес электронной почты</w:t>
            </w:r>
          </w:p>
        </w:tc>
      </w:tr>
    </w:tbl>
    <w:p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>VIII</w:t>
      </w:r>
      <w:r>
        <w:rPr>
          <w:rFonts w:cs="Times New Roman" w:ascii="Times New Roman" w:hAnsi="Times New Roman"/>
          <w:sz w:val="28"/>
          <w:szCs w:val="28"/>
        </w:rPr>
        <w:t>. Подписи Сторон</w:t>
      </w:r>
    </w:p>
    <w:p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tbl>
      <w:tblPr>
        <w:tblW w:w="9998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210"/>
        <w:gridCol w:w="4787"/>
      </w:tblGrid>
      <w:tr>
        <w:trPr/>
        <w:tc>
          <w:tcPr>
            <w:tcW w:w="5210" w:type="dxa"/>
            <w:tcBorders/>
          </w:tcPr>
          <w:p>
            <w:pPr>
              <w:pStyle w:val="ConsPlusNormal"/>
              <w:widowControl/>
              <w:tabs>
                <w:tab w:val="clear" w:pos="708"/>
                <w:tab w:val="left" w:pos="1276" w:leader="none"/>
              </w:tabs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Направляющая сторона</w:t>
            </w:r>
          </w:p>
          <w:p>
            <w:pPr>
              <w:pStyle w:val="ConsPlusNormal"/>
              <w:widowControl/>
              <w:tabs>
                <w:tab w:val="clear" w:pos="708"/>
                <w:tab w:val="left" w:pos="1276" w:leader="none"/>
              </w:tabs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ConsPlusNormal"/>
              <w:widowControl/>
              <w:tabs>
                <w:tab w:val="clear" w:pos="708"/>
                <w:tab w:val="left" w:pos="1276" w:leader="none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______________ / ___________</w:t>
            </w:r>
          </w:p>
          <w:p>
            <w:pPr>
              <w:pStyle w:val="ConsPlusNormal"/>
              <w:widowControl/>
              <w:tabs>
                <w:tab w:val="clear" w:pos="708"/>
                <w:tab w:val="left" w:pos="1276" w:leader="none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ConsPlusNormal"/>
              <w:widowControl/>
              <w:tabs>
                <w:tab w:val="clear" w:pos="708"/>
                <w:tab w:val="left" w:pos="1276" w:leader="none"/>
              </w:tabs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 xml:space="preserve">М.П. </w:t>
            </w:r>
          </w:p>
        </w:tc>
        <w:tc>
          <w:tcPr>
            <w:tcW w:w="4787" w:type="dxa"/>
            <w:tcBorders/>
          </w:tcPr>
          <w:p>
            <w:pPr>
              <w:pStyle w:val="Normal"/>
              <w:shd w:val="clear" w:color="auto" w:fill="FFFFFF"/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bCs/>
                <w:sz w:val="28"/>
                <w:szCs w:val="28"/>
              </w:rPr>
              <w:t>Принимающая сторона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ConsPlusNormal"/>
              <w:widowControl/>
              <w:tabs>
                <w:tab w:val="clear" w:pos="708"/>
                <w:tab w:val="left" w:pos="1276" w:leader="none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_____________ / __________</w:t>
            </w:r>
          </w:p>
          <w:p>
            <w:pPr>
              <w:pStyle w:val="ConsPlusNormal"/>
              <w:widowControl/>
              <w:tabs>
                <w:tab w:val="clear" w:pos="708"/>
                <w:tab w:val="left" w:pos="1276" w:leader="none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ConsPlusNormal"/>
              <w:widowControl/>
              <w:tabs>
                <w:tab w:val="clear" w:pos="708"/>
                <w:tab w:val="left" w:pos="1276" w:leader="none"/>
              </w:tabs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М.П.</w:t>
            </w:r>
          </w:p>
        </w:tc>
      </w:tr>
    </w:tbl>
    <w:p>
      <w:pPr>
        <w:pStyle w:val="Normal"/>
        <w:suppressAutoHyphens w:val="false"/>
        <w:spacing w:lineRule="auto" w:line="240" w:before="0" w:after="0"/>
        <w:rPr>
          <w:rFonts w:ascii="Times New Roman" w:hAnsi="Times New Roman" w:eastAsia="Times New Roman" w:cs="Times New Roman"/>
          <w:kern w:val="0"/>
          <w:sz w:val="28"/>
          <w:szCs w:val="28"/>
          <w:lang w:eastAsia="ru-RU"/>
        </w:rPr>
      </w:pPr>
      <w:r>
        <w:rPr/>
      </w:r>
    </w:p>
    <w:sectPr>
      <w:headerReference w:type="default" r:id="rId2"/>
      <w:type w:val="nextPage"/>
      <w:pgSz w:w="11906" w:h="16838"/>
      <w:pgMar w:left="1134" w:right="567" w:header="567" w:top="1135" w:footer="0" w:bottom="709" w:gutter="0"/>
      <w:pgNumType w:fmt="decimal"/>
      <w:formProt w:val="false"/>
      <w:titlePg/>
      <w:textDirection w:val="lrTb"/>
      <w:docGrid w:type="default" w:linePitch="299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libri">
    <w:charset w:val="cc"/>
    <w:family w:val="roman"/>
    <w:pitch w:val="variable"/>
  </w:font>
  <w:font w:name="Cambria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3"/>
      <w:jc w:val="center"/>
      <w:rPr>
        <w:rFonts w:ascii="Times New Roman" w:hAnsi="Times New Roman" w:cs="Times New Roman"/>
        <w:sz w:val="20"/>
        <w:szCs w:val="20"/>
      </w:rPr>
    </w:pPr>
    <w:r>
      <w:rPr>
        <w:rFonts w:cs="Times New Roman" w:ascii="Times New Roman" w:hAnsi="Times New Roman"/>
        <w:sz w:val="20"/>
        <w:szCs w:val="20"/>
      </w:rPr>
      <w:fldChar w:fldCharType="begin"/>
    </w:r>
    <w:r>
      <w:rPr>
        <w:sz w:val="20"/>
        <w:szCs w:val="20"/>
        <w:rFonts w:cs="Times New Roman" w:ascii="Times New Roman" w:hAnsi="Times New Roman"/>
      </w:rPr>
      <w:instrText> PAGE </w:instrText>
    </w:r>
    <w:r>
      <w:rPr>
        <w:sz w:val="20"/>
        <w:szCs w:val="20"/>
        <w:rFonts w:cs="Times New Roman" w:ascii="Times New Roman" w:hAnsi="Times New Roman"/>
      </w:rPr>
      <w:fldChar w:fldCharType="separate"/>
    </w:r>
    <w:r>
      <w:rPr>
        <w:sz w:val="20"/>
        <w:szCs w:val="20"/>
        <w:rFonts w:cs="Times New Roman" w:ascii="Times New Roman" w:hAnsi="Times New Roman"/>
      </w:rPr>
      <w:t>5</w:t>
    </w:r>
    <w:r>
      <w:rPr>
        <w:sz w:val="20"/>
        <w:szCs w:val="20"/>
        <w:rFonts w:cs="Times New Roman" w:ascii="Times New Roman" w:hAnsi="Times New Roman"/>
      </w:rPr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487" w:hanging="108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545" w:hanging="1440"/>
      </w:pPr>
    </w:lvl>
    <w:lvl w:ilvl="6">
      <w:start w:val="1"/>
      <w:numFmt w:val="decimal"/>
      <w:lvlText w:val="%1.%2.%3.%4.%5.%6.%7."/>
      <w:lvlJc w:val="left"/>
      <w:pPr>
        <w:ind w:left="4254" w:hanging="1800"/>
      </w:pPr>
    </w:lvl>
    <w:lvl w:ilvl="7">
      <w:start w:val="1"/>
      <w:numFmt w:val="decimal"/>
      <w:lvlText w:val="%1.%2.%3.%4.%5.%6.%7.%8."/>
      <w:lvlJc w:val="left"/>
      <w:pPr>
        <w:ind w:left="4603" w:hanging="1800"/>
      </w:pPr>
    </w:lvl>
    <w:lvl w:ilvl="8">
      <w:start w:val="1"/>
      <w:numFmt w:val="decimal"/>
      <w:lvlText w:val="%1.%2.%3.%4.%5.%6.%7.%8.%9."/>
      <w:lvlJc w:val="left"/>
      <w:pPr>
        <w:ind w:left="5312" w:hanging="21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uiPriority="0" w:semiHidden="0" w:unhideWhenUsed="0" w:qFormat="1"/>
    <w:lsdException w:name="Default Paragraph Font" w:uiPriority="1"/>
    <w:lsdException w:name="Subtitle" w:uiPriority="0" w:semiHidden="0" w:unhideWhenUsed="0" w:qFormat="1"/>
    <w:lsdException w:name="Strong" w:uiPriority="0" w:semiHidden="0" w:unhideWhenUsed="0" w:qFormat="1"/>
    <w:lsdException w:name="Emphasis" w:uiPriority="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62b03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auto"/>
      <w:kern w:val="2"/>
      <w:sz w:val="22"/>
      <w:szCs w:val="22"/>
      <w:lang w:eastAsia="ar-SA" w:val="ru-RU" w:bidi="ar-SA"/>
    </w:rPr>
  </w:style>
  <w:style w:type="paragraph" w:styleId="1">
    <w:name w:val="Heading 1"/>
    <w:basedOn w:val="Normal"/>
    <w:next w:val="Normal"/>
    <w:link w:val="10"/>
    <w:qFormat/>
    <w:rsid w:val="00d82d04"/>
    <w:pPr>
      <w:keepNext w:val="true"/>
      <w:spacing w:lineRule="atLeast" w:line="100" w:before="0" w:after="0"/>
      <w:jc w:val="center"/>
      <w:outlineLvl w:val="0"/>
    </w:pPr>
    <w:rPr>
      <w:rFonts w:eastAsia="Times New Roman"/>
      <w:b/>
      <w:bCs/>
      <w:sz w:val="36"/>
      <w:szCs w:val="36"/>
    </w:rPr>
  </w:style>
  <w:style w:type="paragraph" w:styleId="2">
    <w:name w:val="Heading 2"/>
    <w:basedOn w:val="Normal"/>
    <w:next w:val="Style17"/>
    <w:link w:val="20"/>
    <w:qFormat/>
    <w:rsid w:val="00d82d04"/>
    <w:pPr>
      <w:keepNext w:val="true"/>
      <w:spacing w:lineRule="atLeast" w:line="100" w:before="0" w:after="0"/>
      <w:jc w:val="center"/>
      <w:outlineLvl w:val="1"/>
    </w:pPr>
    <w:rPr>
      <w:rFonts w:eastAsia="Times New Roman"/>
      <w:sz w:val="32"/>
      <w:szCs w:val="32"/>
    </w:rPr>
  </w:style>
  <w:style w:type="paragraph" w:styleId="6">
    <w:name w:val="Heading 6"/>
    <w:basedOn w:val="Normal"/>
    <w:next w:val="Normal"/>
    <w:link w:val="60"/>
    <w:semiHidden/>
    <w:unhideWhenUsed/>
    <w:qFormat/>
    <w:rsid w:val="00a75ae2"/>
    <w:pPr>
      <w:spacing w:before="240" w:after="60"/>
      <w:outlineLvl w:val="5"/>
    </w:pPr>
    <w:rPr>
      <w:rFonts w:eastAsia="Times New Roman" w:cs="Times New Roman"/>
      <w:b/>
      <w:bCs/>
    </w:rPr>
  </w:style>
  <w:style w:type="paragraph" w:styleId="8">
    <w:name w:val="Heading 8"/>
    <w:basedOn w:val="Normal"/>
    <w:next w:val="Normal"/>
    <w:link w:val="80"/>
    <w:semiHidden/>
    <w:unhideWhenUsed/>
    <w:qFormat/>
    <w:rsid w:val="00a75ae2"/>
    <w:p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qFormat/>
    <w:rsid w:val="00a75ae2"/>
    <w:rPr>
      <w:rFonts w:ascii="Calibri" w:hAnsi="Calibri" w:cs="Calibri"/>
      <w:b/>
      <w:bCs/>
      <w:kern w:val="2"/>
      <w:sz w:val="36"/>
      <w:szCs w:val="36"/>
      <w:lang w:eastAsia="ar-SA"/>
    </w:rPr>
  </w:style>
  <w:style w:type="character" w:styleId="Style10" w:customStyle="1">
    <w:name w:val="Основной текст Знак"/>
    <w:basedOn w:val="DefaultParagraphFont"/>
    <w:link w:val="a0"/>
    <w:uiPriority w:val="99"/>
    <w:semiHidden/>
    <w:qFormat/>
    <w:rsid w:val="00d82d04"/>
    <w:rPr>
      <w:rFonts w:ascii="Calibri" w:hAnsi="Calibri" w:cs="Calibri"/>
      <w:kern w:val="2"/>
      <w:sz w:val="22"/>
      <w:szCs w:val="22"/>
      <w:lang w:eastAsia="ar-SA"/>
    </w:rPr>
  </w:style>
  <w:style w:type="character" w:styleId="21" w:customStyle="1">
    <w:name w:val="Заголовок 2 Знак"/>
    <w:basedOn w:val="DefaultParagraphFont"/>
    <w:link w:val="2"/>
    <w:qFormat/>
    <w:rsid w:val="00a75ae2"/>
    <w:rPr>
      <w:rFonts w:ascii="Calibri" w:hAnsi="Calibri" w:cs="Calibri"/>
      <w:kern w:val="2"/>
      <w:sz w:val="32"/>
      <w:szCs w:val="32"/>
      <w:lang w:eastAsia="ar-SA"/>
    </w:rPr>
  </w:style>
  <w:style w:type="character" w:styleId="61" w:customStyle="1">
    <w:name w:val="Заголовок 6 Знак"/>
    <w:basedOn w:val="DefaultParagraphFont"/>
    <w:link w:val="6"/>
    <w:semiHidden/>
    <w:qFormat/>
    <w:rsid w:val="00a75ae2"/>
    <w:rPr>
      <w:rFonts w:ascii="Calibri" w:hAnsi="Calibri" w:eastAsia="Times New Roman" w:cs="Times New Roman"/>
      <w:b/>
      <w:bCs/>
      <w:kern w:val="2"/>
      <w:sz w:val="22"/>
      <w:szCs w:val="22"/>
      <w:lang w:eastAsia="ar-SA"/>
    </w:rPr>
  </w:style>
  <w:style w:type="character" w:styleId="81" w:customStyle="1">
    <w:name w:val="Заголовок 8 Знак"/>
    <w:basedOn w:val="DefaultParagraphFont"/>
    <w:link w:val="8"/>
    <w:semiHidden/>
    <w:qFormat/>
    <w:rsid w:val="00a75ae2"/>
    <w:rPr>
      <w:rFonts w:ascii="Calibri" w:hAnsi="Calibri" w:eastAsia="Times New Roman" w:cs="Times New Roman"/>
      <w:i/>
      <w:iCs/>
      <w:kern w:val="2"/>
      <w:sz w:val="24"/>
      <w:szCs w:val="24"/>
      <w:lang w:eastAsia="ar-SA"/>
    </w:rPr>
  </w:style>
  <w:style w:type="character" w:styleId="Style11" w:customStyle="1">
    <w:name w:val="Название Знак"/>
    <w:basedOn w:val="DefaultParagraphFont"/>
    <w:link w:val="a5"/>
    <w:qFormat/>
    <w:rsid w:val="00a75ae2"/>
    <w:rPr>
      <w:rFonts w:ascii="Cambria" w:hAnsi="Cambria" w:eastAsia="Times New Roman" w:cs="Times New Roman"/>
      <w:b/>
      <w:bCs/>
      <w:kern w:val="2"/>
      <w:sz w:val="32"/>
      <w:szCs w:val="32"/>
      <w:lang w:eastAsia="ar-SA"/>
    </w:rPr>
  </w:style>
  <w:style w:type="character" w:styleId="Strong">
    <w:name w:val="Strong"/>
    <w:basedOn w:val="DefaultParagraphFont"/>
    <w:qFormat/>
    <w:rsid w:val="00a75ae2"/>
    <w:rPr>
      <w:b/>
      <w:bCs/>
    </w:rPr>
  </w:style>
  <w:style w:type="character" w:styleId="WWAbsatzStandardschriftart11111111111" w:customStyle="1">
    <w:name w:val="WW-Absatz-Standardschriftart11111111111"/>
    <w:qFormat/>
    <w:rsid w:val="00a75435"/>
    <w:rPr/>
  </w:style>
  <w:style w:type="character" w:styleId="Style12" w:customStyle="1">
    <w:name w:val="Верхний колонтитул Знак"/>
    <w:basedOn w:val="DefaultParagraphFont"/>
    <w:link w:val="a9"/>
    <w:uiPriority w:val="99"/>
    <w:qFormat/>
    <w:rsid w:val="00f44cc2"/>
    <w:rPr>
      <w:rFonts w:ascii="Calibri" w:hAnsi="Calibri" w:eastAsia="Calibri" w:cs="Calibri"/>
      <w:kern w:val="2"/>
      <w:sz w:val="22"/>
      <w:szCs w:val="22"/>
      <w:lang w:eastAsia="ar-SA"/>
    </w:rPr>
  </w:style>
  <w:style w:type="character" w:styleId="Style13" w:customStyle="1">
    <w:name w:val="Нижний колонтитул Знак"/>
    <w:basedOn w:val="DefaultParagraphFont"/>
    <w:link w:val="ab"/>
    <w:uiPriority w:val="99"/>
    <w:qFormat/>
    <w:rsid w:val="00f44cc2"/>
    <w:rPr>
      <w:rFonts w:ascii="Calibri" w:hAnsi="Calibri" w:eastAsia="Calibri" w:cs="Calibri"/>
      <w:kern w:val="2"/>
      <w:sz w:val="22"/>
      <w:szCs w:val="22"/>
      <w:lang w:eastAsia="ar-SA"/>
    </w:rPr>
  </w:style>
  <w:style w:type="character" w:styleId="Style14">
    <w:name w:val="Интернет-ссылка"/>
    <w:basedOn w:val="DefaultParagraphFont"/>
    <w:uiPriority w:val="99"/>
    <w:semiHidden/>
    <w:unhideWhenUsed/>
    <w:rsid w:val="00c75c03"/>
    <w:rPr>
      <w:color w:val="0000FF"/>
      <w:u w:val="single"/>
    </w:rPr>
  </w:style>
  <w:style w:type="character" w:styleId="Style15" w:customStyle="1">
    <w:name w:val="Текст выноски Знак"/>
    <w:basedOn w:val="DefaultParagraphFont"/>
    <w:link w:val="af"/>
    <w:uiPriority w:val="99"/>
    <w:semiHidden/>
    <w:qFormat/>
    <w:rsid w:val="00c06b92"/>
    <w:rPr>
      <w:rFonts w:ascii="Tahoma" w:hAnsi="Tahoma" w:eastAsia="Calibri" w:cs="Tahoma"/>
      <w:kern w:val="2"/>
      <w:sz w:val="16"/>
      <w:szCs w:val="16"/>
      <w:lang w:eastAsia="ar-SA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link w:val="a4"/>
    <w:uiPriority w:val="99"/>
    <w:semiHidden/>
    <w:unhideWhenUsed/>
    <w:rsid w:val="00d82d04"/>
    <w:pPr>
      <w:spacing w:before="0" w:after="120"/>
    </w:pPr>
    <w:rPr>
      <w:rFonts w:eastAsia="Times New Roman"/>
    </w:rPr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Style21">
    <w:name w:val="Title"/>
    <w:basedOn w:val="Normal"/>
    <w:link w:val="a6"/>
    <w:qFormat/>
    <w:rsid w:val="00a75ae2"/>
    <w:pPr>
      <w:spacing w:before="240" w:after="60"/>
      <w:jc w:val="center"/>
      <w:outlineLvl w:val="0"/>
    </w:pPr>
    <w:rPr>
      <w:rFonts w:ascii="Cambria" w:hAnsi="Cambria" w:eastAsia="Times New Roman" w:cs="Times New Roman"/>
      <w:b/>
      <w:bCs/>
      <w:kern w:val="2"/>
      <w:sz w:val="32"/>
      <w:szCs w:val="32"/>
    </w:rPr>
  </w:style>
  <w:style w:type="paragraph" w:styleId="ListParagraph">
    <w:name w:val="List Paragraph"/>
    <w:basedOn w:val="Normal"/>
    <w:uiPriority w:val="34"/>
    <w:qFormat/>
    <w:rsid w:val="00a75ae2"/>
    <w:pPr>
      <w:ind w:left="708" w:hanging="0"/>
    </w:pPr>
    <w:rPr>
      <w:rFonts w:eastAsia="Times New Roman"/>
    </w:rPr>
  </w:style>
  <w:style w:type="paragraph" w:styleId="ConsPlusNormal" w:customStyle="1">
    <w:name w:val="ConsPlusNormal"/>
    <w:qFormat/>
    <w:rsid w:val="005d6af6"/>
    <w:pPr>
      <w:widowControl w:val="false"/>
      <w:bidi w:val="0"/>
      <w:spacing w:before="0" w:after="0"/>
      <w:jc w:val="left"/>
    </w:pPr>
    <w:rPr>
      <w:rFonts w:ascii="Calibri" w:hAnsi="Calibri" w:cs="Calibri" w:eastAsia="Times New Roman"/>
      <w:color w:val="auto"/>
      <w:kern w:val="0"/>
      <w:sz w:val="22"/>
      <w:szCs w:val="20"/>
      <w:lang w:val="ru-RU" w:eastAsia="ru-RU" w:bidi="ar-SA"/>
    </w:rPr>
  </w:style>
  <w:style w:type="paragraph" w:styleId="ConsPlusTitle" w:customStyle="1">
    <w:name w:val="ConsPlusTitle"/>
    <w:qFormat/>
    <w:rsid w:val="005d6af6"/>
    <w:pPr>
      <w:widowControl w:val="false"/>
      <w:bidi w:val="0"/>
      <w:spacing w:before="0" w:after="0"/>
      <w:jc w:val="left"/>
    </w:pPr>
    <w:rPr>
      <w:rFonts w:ascii="Calibri" w:hAnsi="Calibri" w:cs="Calibri" w:eastAsia="Times New Roman"/>
      <w:b/>
      <w:color w:val="auto"/>
      <w:kern w:val="0"/>
      <w:sz w:val="22"/>
      <w:szCs w:val="20"/>
      <w:lang w:val="ru-RU" w:eastAsia="ru-RU" w:bidi="ar-SA"/>
    </w:rPr>
  </w:style>
  <w:style w:type="paragraph" w:styleId="ConsPlusNonformat" w:customStyle="1">
    <w:name w:val="ConsPlusNonformat"/>
    <w:qFormat/>
    <w:rsid w:val="005d6af6"/>
    <w:pPr>
      <w:widowControl w:val="false"/>
      <w:bidi w:val="0"/>
      <w:spacing w:before="0" w:after="0"/>
      <w:jc w:val="left"/>
    </w:pPr>
    <w:rPr>
      <w:rFonts w:ascii="Courier New" w:hAnsi="Courier New" w:cs="Courier New" w:eastAsia="Times New Roman"/>
      <w:color w:val="auto"/>
      <w:kern w:val="0"/>
      <w:sz w:val="22"/>
      <w:szCs w:val="20"/>
      <w:lang w:val="ru-RU" w:eastAsia="ru-RU" w:bidi="ar-SA"/>
    </w:rPr>
  </w:style>
  <w:style w:type="paragraph" w:styleId="Style22">
    <w:name w:val="Верхний и нижний колонтитулы"/>
    <w:basedOn w:val="Normal"/>
    <w:qFormat/>
    <w:pPr/>
    <w:rPr/>
  </w:style>
  <w:style w:type="paragraph" w:styleId="Style23">
    <w:name w:val="Header"/>
    <w:basedOn w:val="Normal"/>
    <w:link w:val="aa"/>
    <w:uiPriority w:val="99"/>
    <w:unhideWhenUsed/>
    <w:rsid w:val="00f44cc2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4">
    <w:name w:val="Footer"/>
    <w:basedOn w:val="Normal"/>
    <w:link w:val="ac"/>
    <w:uiPriority w:val="99"/>
    <w:unhideWhenUsed/>
    <w:rsid w:val="00f44cc2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12" w:customStyle="1">
    <w:name w:val="Абзац списка1"/>
    <w:basedOn w:val="Normal"/>
    <w:qFormat/>
    <w:rsid w:val="00ef122d"/>
    <w:pPr>
      <w:ind w:left="720" w:hanging="0"/>
    </w:pPr>
    <w:rPr/>
  </w:style>
  <w:style w:type="paragraph" w:styleId="BalloonText">
    <w:name w:val="Balloon Text"/>
    <w:basedOn w:val="Normal"/>
    <w:link w:val="af0"/>
    <w:uiPriority w:val="99"/>
    <w:semiHidden/>
    <w:unhideWhenUsed/>
    <w:qFormat/>
    <w:rsid w:val="00c06b92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e">
    <w:name w:val="Table Grid"/>
    <w:basedOn w:val="a2"/>
    <w:uiPriority w:val="59"/>
    <w:rsid w:val="00bf3aab"/>
    <w:rPr>
      <w:lang w:eastAsia="en-US"/>
      <w:sz w:val="28"/>
      <w:szCs w:val="22"/>
    </w:r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FF07B5-30DD-4196-B36C-608EED6A4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Костромская область_Типовая форма соглашения по труд инв (Автосохраненный)</Template>
  <TotalTime>1075</TotalTime>
  <Application>LibreOffice/6.4.4.2$Windows_X86_64 LibreOffice_project/3d775be2011f3886db32dfd395a6a6d1ca2630ff</Application>
  <Pages>5</Pages>
  <Words>1381</Words>
  <Characters>11111</Characters>
  <CharactersWithSpaces>12469</CharactersWithSpaces>
  <Paragraphs>96</Paragraphs>
  <Company>dep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2022-12-12T11:46:00Z</dcterms:created>
  <dc:creator>А9</dc:creator>
  <dc:description/>
  <dc:language>ru-RU</dc:language>
  <cp:lastModifiedBy/>
  <cp:lastPrinted>2022-12-14T13:17:00Z</cp:lastPrinted>
  <dcterms:modified xsi:type="dcterms:W3CDTF">2023-02-21T15:56:25Z</dcterms:modified>
  <cp:revision>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dep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