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 w:eastAsia="Times New Roman" w:cs="Times New Roman"/>
          <w:color w:val="auto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color w:val="auto"/>
          <w:sz w:val="28"/>
          <w:szCs w:val="28"/>
          <w:lang w:eastAsia="ru-RU"/>
        </w:rPr>
        <w:t>Несчастный случай, не связанный с производством:</w:t>
      </w:r>
      <w:r>
        <w:rPr>
          <w:rFonts w:eastAsia="Times New Roman" w:cs="Times New Roman" w:ascii="Times New Roman" w:hAnsi="Times New Roman"/>
          <w:color w:val="auto"/>
          <w:sz w:val="28"/>
          <w:szCs w:val="28"/>
          <w:lang w:eastAsia="ru-RU"/>
        </w:rPr>
        <w:t xml:space="preserve"> </w:t>
      </w:r>
    </w:p>
    <w:p>
      <w:pPr>
        <w:pStyle w:val="Normal"/>
        <w:jc w:val="center"/>
        <w:rPr>
          <w:rFonts w:ascii="Times New Roman" w:hAnsi="Times New Roman" w:eastAsia="Times New Roman" w:cs="Times New Roman"/>
          <w:color w:val="auto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auto"/>
          <w:sz w:val="28"/>
          <w:szCs w:val="28"/>
          <w:lang w:eastAsia="ru-RU"/>
        </w:rPr>
        <w:t>порядок расследования.</w:t>
        <w:br/>
      </w:r>
    </w:p>
    <w:p>
      <w:pPr>
        <w:pStyle w:val="Normal"/>
        <w:rPr>
          <w:rFonts w:ascii="Times New Roman" w:hAnsi="Times New Roman" w:eastAsia="Times New Roman" w:cs="Times New Roman"/>
          <w:color w:val="auto"/>
          <w:lang w:eastAsia="ru-RU"/>
        </w:rPr>
      </w:pPr>
      <w:r>
        <w:rPr>
          <w:rFonts w:eastAsia="Times New Roman" w:cs="Times New Roman" w:ascii="Times New Roman" w:hAnsi="Times New Roman"/>
          <w:color w:val="auto"/>
          <w:lang w:eastAsia="ru-RU"/>
        </w:rPr>
      </w:r>
    </w:p>
    <w:p>
      <w:pPr>
        <w:pStyle w:val="Normal"/>
        <w:ind w:firstLine="709"/>
        <w:jc w:val="both"/>
        <w:rPr>
          <w:rFonts w:ascii="Times New Roman" w:hAnsi="Times New Roman" w:eastAsia="Times New Roman" w:cs="Times New Roman"/>
          <w:color w:val="auto"/>
          <w:lang w:eastAsia="ru-RU"/>
        </w:rPr>
      </w:pPr>
      <w:r>
        <w:rPr>
          <w:rFonts w:eastAsia="Times New Roman" w:cs="Times New Roman" w:ascii="Times New Roman" w:hAnsi="Times New Roman"/>
          <w:color w:val="auto"/>
          <w:lang w:eastAsia="ru-RU"/>
        </w:rPr>
        <w:t>Даже если вы уверены, что несчастный случай не связан с производством, его всё равно придется расследовать.</w:t>
      </w:r>
    </w:p>
    <w:p>
      <w:pPr>
        <w:pStyle w:val="Normal"/>
        <w:ind w:firstLine="709"/>
        <w:jc w:val="both"/>
        <w:rPr>
          <w:rFonts w:ascii="Times New Roman" w:hAnsi="Times New Roman" w:eastAsia="Times New Roman" w:cs="Times New Roman"/>
          <w:color w:val="auto"/>
          <w:lang w:eastAsia="ru-RU"/>
        </w:rPr>
      </w:pPr>
      <w:r>
        <w:rPr>
          <w:rFonts w:eastAsia="Times New Roman" w:cs="Times New Roman" w:ascii="Times New Roman" w:hAnsi="Times New Roman"/>
          <w:color w:val="auto"/>
          <w:lang w:eastAsia="ru-RU"/>
        </w:rPr>
      </w:r>
    </w:p>
    <w:p>
      <w:pPr>
        <w:pStyle w:val="Normal"/>
        <w:ind w:firstLine="709"/>
        <w:jc w:val="both"/>
        <w:rPr>
          <w:rFonts w:ascii="Times New Roman" w:hAnsi="Times New Roman" w:eastAsia="Times New Roman" w:cs="Times New Roman"/>
          <w:b/>
          <w:b/>
          <w:color w:val="auto"/>
          <w:lang w:eastAsia="ru-RU"/>
        </w:rPr>
      </w:pPr>
      <w:r>
        <w:rPr>
          <w:rFonts w:eastAsia="Times New Roman" w:cs="Times New Roman" w:ascii="Times New Roman" w:hAnsi="Times New Roman"/>
          <w:b/>
          <w:color w:val="auto"/>
          <w:lang w:eastAsia="ru-RU"/>
        </w:rPr>
        <w:t xml:space="preserve">Внимание! 1 сентября 2022 года вступил в силу Приказ Минтруда России от 20.04.2022 № 223н, которым утверждено новое Положение о расследовании несчастных случаев. </w:t>
      </w:r>
    </w:p>
    <w:p>
      <w:pPr>
        <w:pStyle w:val="Normal"/>
        <w:ind w:firstLine="709"/>
        <w:jc w:val="both"/>
        <w:rPr>
          <w:rFonts w:ascii="Times New Roman" w:hAnsi="Times New Roman" w:eastAsia="Times New Roman" w:cs="Times New Roman"/>
          <w:b/>
          <w:b/>
          <w:color w:val="auto"/>
          <w:lang w:eastAsia="ru-RU"/>
        </w:rPr>
      </w:pPr>
      <w:r>
        <w:rPr>
          <w:rFonts w:eastAsia="Times New Roman" w:cs="Times New Roman" w:ascii="Times New Roman" w:hAnsi="Times New Roman"/>
          <w:b/>
          <w:color w:val="auto"/>
          <w:lang w:eastAsia="ru-RU"/>
        </w:rPr>
        <w:t>Формы документов необходимых для расследования несчастных случаев на производстве указаны в приложении № 2 к приказу Минтруда России от 20.04.2022 № 223н.</w:t>
      </w:r>
    </w:p>
    <w:p>
      <w:pPr>
        <w:pStyle w:val="Normal"/>
        <w:rPr>
          <w:rFonts w:ascii="Times New Roman" w:hAnsi="Times New Roman" w:eastAsia="Times New Roman" w:cs="Times New Roman"/>
          <w:color w:val="auto"/>
          <w:lang w:eastAsia="ru-RU"/>
        </w:rPr>
      </w:pPr>
      <w:r>
        <w:rPr>
          <w:rFonts w:eastAsia="Times New Roman" w:cs="Times New Roman" w:ascii="Times New Roman" w:hAnsi="Times New Roman"/>
          <w:color w:val="auto"/>
          <w:lang w:eastAsia="ru-RU"/>
        </w:rPr>
      </w:r>
    </w:p>
    <w:p>
      <w:pPr>
        <w:pStyle w:val="Normal"/>
        <w:ind w:firstLine="709"/>
        <w:jc w:val="both"/>
        <w:rPr>
          <w:rFonts w:ascii="Times New Roman" w:hAnsi="Times New Roman" w:eastAsia="Times New Roman" w:cs="Times New Roman"/>
          <w:color w:val="auto"/>
          <w:lang w:eastAsia="ru-RU"/>
        </w:rPr>
      </w:pPr>
      <w:r>
        <w:rPr>
          <w:rFonts w:eastAsia="Times New Roman" w:cs="Times New Roman" w:ascii="Times New Roman" w:hAnsi="Times New Roman"/>
          <w:color w:val="auto"/>
          <w:lang w:eastAsia="ru-RU"/>
        </w:rPr>
        <w:t xml:space="preserve">Несчастные случаи с работниками бывают разными, и не всегда их можно связать с производством. Несчастный случай, не связанный с производством, по ТК РФ — это: смерть или повреждение здоровья, которые работник получил в результате грубой неосторожности. </w:t>
      </w:r>
    </w:p>
    <w:p>
      <w:pPr>
        <w:pStyle w:val="Normal"/>
        <w:ind w:firstLine="709"/>
        <w:jc w:val="both"/>
        <w:rPr>
          <w:rFonts w:ascii="Times New Roman" w:hAnsi="Times New Roman" w:eastAsia="Times New Roman" w:cs="Times New Roman"/>
          <w:color w:val="auto"/>
          <w:lang w:eastAsia="ru-RU"/>
        </w:rPr>
      </w:pPr>
      <w:r>
        <w:rPr>
          <w:rFonts w:eastAsia="Times New Roman" w:cs="Times New Roman" w:ascii="Times New Roman" w:hAnsi="Times New Roman"/>
          <w:color w:val="auto"/>
          <w:lang w:eastAsia="ru-RU"/>
        </w:rPr>
        <w:t xml:space="preserve">Грубой неосторожностью могут признать случаи, когда пострадавший: </w:t>
      </w:r>
    </w:p>
    <w:p>
      <w:pPr>
        <w:pStyle w:val="Normal"/>
        <w:ind w:firstLine="709"/>
        <w:jc w:val="both"/>
        <w:rPr>
          <w:rFonts w:ascii="Times New Roman" w:hAnsi="Times New Roman" w:eastAsia="Times New Roman" w:cs="Times New Roman"/>
          <w:color w:val="auto"/>
          <w:lang w:eastAsia="ru-RU"/>
        </w:rPr>
      </w:pPr>
      <w:r>
        <w:rPr>
          <w:rFonts w:eastAsia="Times New Roman" w:cs="Times New Roman" w:ascii="Times New Roman" w:hAnsi="Times New Roman"/>
          <w:color w:val="auto"/>
          <w:lang w:eastAsia="ru-RU"/>
        </w:rPr>
        <w:t xml:space="preserve">- находился в состоянии алкогольного, наркотического или иного токсического опьянения, что подтвердила медицинская организация; </w:t>
      </w:r>
    </w:p>
    <w:p>
      <w:pPr>
        <w:pStyle w:val="Normal"/>
        <w:ind w:firstLine="709"/>
        <w:jc w:val="both"/>
        <w:rPr>
          <w:rFonts w:ascii="Times New Roman" w:hAnsi="Times New Roman" w:eastAsia="Times New Roman" w:cs="Times New Roman"/>
          <w:color w:val="auto"/>
          <w:lang w:eastAsia="ru-RU"/>
        </w:rPr>
      </w:pPr>
      <w:r>
        <w:rPr>
          <w:rFonts w:eastAsia="Times New Roman" w:cs="Times New Roman" w:ascii="Times New Roman" w:hAnsi="Times New Roman"/>
          <w:color w:val="auto"/>
          <w:lang w:eastAsia="ru-RU"/>
        </w:rPr>
        <w:t xml:space="preserve">- неоднократно нарушал требования охраны труда; </w:t>
      </w:r>
    </w:p>
    <w:p>
      <w:pPr>
        <w:pStyle w:val="Normal"/>
        <w:ind w:firstLine="709"/>
        <w:jc w:val="both"/>
        <w:rPr>
          <w:rFonts w:ascii="Times New Roman" w:hAnsi="Times New Roman" w:eastAsia="Times New Roman" w:cs="Times New Roman"/>
          <w:color w:val="auto"/>
          <w:lang w:eastAsia="ru-RU"/>
        </w:rPr>
      </w:pPr>
      <w:r>
        <w:rPr>
          <w:rFonts w:eastAsia="Times New Roman" w:cs="Times New Roman" w:ascii="Times New Roman" w:hAnsi="Times New Roman"/>
          <w:color w:val="auto"/>
          <w:lang w:eastAsia="ru-RU"/>
        </w:rPr>
        <w:t>- пренебрегал иными требованиями безопасности;</w:t>
      </w:r>
    </w:p>
    <w:p>
      <w:pPr>
        <w:pStyle w:val="Normal"/>
        <w:ind w:firstLine="709"/>
        <w:jc w:val="both"/>
        <w:rPr>
          <w:rFonts w:ascii="Times New Roman" w:hAnsi="Times New Roman" w:eastAsia="Times New Roman" w:cs="Times New Roman"/>
          <w:color w:val="auto"/>
          <w:lang w:eastAsia="ru-RU"/>
        </w:rPr>
      </w:pPr>
      <w:r>
        <w:rPr>
          <w:rFonts w:eastAsia="Times New Roman" w:cs="Times New Roman" w:ascii="Times New Roman" w:hAnsi="Times New Roman"/>
          <w:color w:val="auto"/>
          <w:lang w:eastAsia="ru-RU"/>
        </w:rPr>
        <w:t xml:space="preserve">- смерть работника из-за общего заболевания или в результате самоубийства, подтвержденного медучреждением и следственными органами; </w:t>
      </w:r>
    </w:p>
    <w:p>
      <w:pPr>
        <w:pStyle w:val="Normal"/>
        <w:ind w:firstLine="709"/>
        <w:jc w:val="both"/>
        <w:rPr>
          <w:rFonts w:ascii="Times New Roman" w:hAnsi="Times New Roman" w:eastAsia="Times New Roman" w:cs="Times New Roman"/>
          <w:color w:val="auto"/>
          <w:lang w:eastAsia="ru-RU"/>
        </w:rPr>
      </w:pPr>
      <w:r>
        <w:rPr>
          <w:rFonts w:eastAsia="Times New Roman" w:cs="Times New Roman" w:ascii="Times New Roman" w:hAnsi="Times New Roman"/>
          <w:color w:val="auto"/>
          <w:lang w:eastAsia="ru-RU"/>
        </w:rPr>
        <w:t xml:space="preserve">- инцидент, произошедший с работником во время его незаконных действий. </w:t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b/>
          <w:color w:val="auto"/>
          <w:lang w:eastAsia="ru-RU"/>
        </w:rPr>
      </w:pPr>
      <w:r>
        <w:rPr>
          <w:rFonts w:eastAsia="Times New Roman" w:cs="Times New Roman" w:ascii="Times New Roman" w:hAnsi="Times New Roman"/>
          <w:b/>
          <w:color w:val="auto"/>
          <w:lang w:eastAsia="ru-RU"/>
        </w:rPr>
        <w:t>Порядок расследования несчастного случая, не связанного с производством.</w:t>
      </w:r>
    </w:p>
    <w:p>
      <w:pPr>
        <w:pStyle w:val="Normal"/>
        <w:ind w:firstLine="709"/>
        <w:jc w:val="both"/>
        <w:rPr>
          <w:rFonts w:ascii="Times New Roman" w:hAnsi="Times New Roman" w:eastAsia="Times New Roman" w:cs="Times New Roman"/>
          <w:color w:val="auto"/>
          <w:lang w:eastAsia="ru-RU"/>
        </w:rPr>
      </w:pPr>
      <w:r>
        <w:rPr>
          <w:rFonts w:eastAsia="Times New Roman" w:cs="Times New Roman" w:ascii="Times New Roman" w:hAnsi="Times New Roman"/>
          <w:color w:val="auto"/>
          <w:lang w:eastAsia="ru-RU"/>
        </w:rPr>
      </w:r>
    </w:p>
    <w:p>
      <w:pPr>
        <w:pStyle w:val="Normal"/>
        <w:ind w:firstLine="709"/>
        <w:jc w:val="both"/>
        <w:rPr>
          <w:rFonts w:ascii="Times New Roman" w:hAnsi="Times New Roman" w:eastAsia="Times New Roman" w:cs="Times New Roman"/>
          <w:color w:val="auto"/>
          <w:lang w:eastAsia="ru-RU"/>
        </w:rPr>
      </w:pPr>
      <w:r>
        <w:rPr>
          <w:rFonts w:eastAsia="Times New Roman" w:cs="Times New Roman" w:ascii="Times New Roman" w:hAnsi="Times New Roman"/>
          <w:color w:val="auto"/>
          <w:lang w:eastAsia="ru-RU"/>
        </w:rPr>
        <w:t xml:space="preserve">Для того чтобы доказать, что несчастный случай не связан с производством, нужно его расследовать. </w:t>
      </w:r>
    </w:p>
    <w:p>
      <w:pPr>
        <w:pStyle w:val="Normal"/>
        <w:ind w:firstLine="709"/>
        <w:jc w:val="both"/>
        <w:rPr>
          <w:rFonts w:ascii="Times New Roman" w:hAnsi="Times New Roman" w:eastAsia="Times New Roman" w:cs="Times New Roman"/>
          <w:color w:val="auto"/>
          <w:lang w:eastAsia="ru-RU"/>
        </w:rPr>
      </w:pPr>
      <w:r>
        <w:rPr>
          <w:rFonts w:eastAsia="Times New Roman" w:cs="Times New Roman" w:ascii="Times New Roman" w:hAnsi="Times New Roman"/>
          <w:color w:val="auto"/>
          <w:lang w:eastAsia="ru-RU"/>
        </w:rPr>
        <w:t>Но при любом несчастном случае, в первую очередь нужно сделать следующее:</w:t>
      </w:r>
    </w:p>
    <w:p>
      <w:pPr>
        <w:pStyle w:val="Normal"/>
        <w:ind w:firstLine="709"/>
        <w:jc w:val="both"/>
        <w:rPr>
          <w:rFonts w:ascii="Times New Roman" w:hAnsi="Times New Roman" w:eastAsia="Times New Roman" w:cs="Times New Roman"/>
          <w:color w:val="auto"/>
          <w:lang w:eastAsia="ru-RU"/>
        </w:rPr>
      </w:pPr>
      <w:r>
        <w:rPr>
          <w:rFonts w:eastAsia="Times New Roman" w:cs="Times New Roman" w:ascii="Times New Roman" w:hAnsi="Times New Roman"/>
          <w:color w:val="auto"/>
          <w:lang w:eastAsia="ru-RU"/>
        </w:rPr>
        <w:t>- оказать первую помощь пострадавшим и вызвать скорую;</w:t>
      </w:r>
    </w:p>
    <w:p>
      <w:pPr>
        <w:pStyle w:val="Normal"/>
        <w:ind w:firstLine="709"/>
        <w:jc w:val="both"/>
        <w:rPr>
          <w:rFonts w:ascii="Times New Roman" w:hAnsi="Times New Roman" w:eastAsia="Times New Roman" w:cs="Times New Roman"/>
          <w:color w:val="auto"/>
          <w:lang w:eastAsia="ru-RU"/>
        </w:rPr>
      </w:pPr>
      <w:r>
        <w:rPr>
          <w:rFonts w:eastAsia="Times New Roman" w:cs="Times New Roman" w:ascii="Times New Roman" w:hAnsi="Times New Roman"/>
          <w:color w:val="auto"/>
          <w:lang w:eastAsia="ru-RU"/>
        </w:rPr>
        <w:t xml:space="preserve">- устранить вредные или опасные факторы, которые стали причиной происшествия; </w:t>
      </w:r>
    </w:p>
    <w:p>
      <w:pPr>
        <w:pStyle w:val="Normal"/>
        <w:ind w:firstLine="709"/>
        <w:jc w:val="both"/>
        <w:rPr>
          <w:rFonts w:ascii="Times New Roman" w:hAnsi="Times New Roman" w:eastAsia="Times New Roman" w:cs="Times New Roman"/>
          <w:color w:val="auto"/>
          <w:lang w:eastAsia="ru-RU"/>
        </w:rPr>
      </w:pPr>
      <w:r>
        <w:rPr>
          <w:rFonts w:eastAsia="Times New Roman" w:cs="Times New Roman" w:ascii="Times New Roman" w:hAnsi="Times New Roman"/>
          <w:color w:val="auto"/>
          <w:lang w:eastAsia="ru-RU"/>
        </w:rPr>
        <w:t xml:space="preserve">- сохранить обстановку на месте происшествия в неизменном виде до начала расследования несчастного случая. </w:t>
      </w:r>
    </w:p>
    <w:p>
      <w:pPr>
        <w:pStyle w:val="Normal"/>
        <w:ind w:firstLine="709"/>
        <w:jc w:val="both"/>
        <w:rPr/>
      </w:pPr>
      <w:r>
        <w:rPr/>
      </w:r>
    </w:p>
    <w:p>
      <w:pPr>
        <w:pStyle w:val="Normal"/>
        <w:ind w:firstLine="709"/>
        <w:jc w:val="both"/>
        <w:rPr/>
      </w:pPr>
      <w:r>
        <w:rPr>
          <w:rFonts w:cs="Times New Roman" w:ascii="Times New Roman" w:hAnsi="Times New Roman"/>
          <w:b/>
        </w:rPr>
        <w:t xml:space="preserve">Согласно статье 228.1 ТК РФ, при групповом несчастном случае (два человека и более), тяжелом несчастном случае или несчастном случае со смертельным исходом </w:t>
      </w:r>
      <w:r>
        <w:rPr>
          <w:rFonts w:cs="Times New Roman" w:ascii="Times New Roman" w:hAnsi="Times New Roman"/>
          <w:b/>
          <w:highlight w:val="yellow"/>
        </w:rPr>
        <w:t>работодатель (его представитель)</w:t>
      </w:r>
      <w:r>
        <w:rPr>
          <w:rFonts w:cs="Times New Roman" w:ascii="Times New Roman" w:hAnsi="Times New Roman"/>
          <w:b/>
        </w:rPr>
        <w:t xml:space="preserve"> в течение суток обязан направить извещение по установленной </w:t>
      </w:r>
      <w:hyperlink r:id="rId2">
        <w:r>
          <w:rPr>
            <w:rStyle w:val="Style14"/>
            <w:rFonts w:cs="Times New Roman" w:ascii="Times New Roman" w:hAnsi="Times New Roman"/>
            <w:b/>
          </w:rPr>
          <w:t>форме</w:t>
        </w:r>
      </w:hyperlink>
      <w:r>
        <w:rPr>
          <w:rFonts w:cs="Times New Roman" w:ascii="Times New Roman" w:hAnsi="Times New Roman"/>
          <w:b/>
        </w:rPr>
        <w:t>:</w:t>
      </w:r>
    </w:p>
    <w:p>
      <w:pPr>
        <w:pStyle w:val="Normal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в территориальный орган федерального органа исполнительной власти, уполномоченного на осуществление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по месту происшедшего несчастного случая;</w:t>
      </w:r>
    </w:p>
    <w:p>
      <w:pPr>
        <w:pStyle w:val="Normal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в прокуратуру по месту происшедшего несчастного случая;</w:t>
      </w:r>
    </w:p>
    <w:p>
      <w:pPr>
        <w:pStyle w:val="Normal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в орган исполнительной власти субъекта Российской Федерации, осуществляющий полномочия по реализации государственной политики в области охраны труда на территории субъекта Российской Федерации, и в орган местного самоуправления по месту происшедшего несчастного случая;</w:t>
      </w:r>
    </w:p>
    <w:p>
      <w:pPr>
        <w:pStyle w:val="Normal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работодателю, направившему работника, с которым произошел несчастный случай;</w:t>
      </w:r>
    </w:p>
    <w:p>
      <w:pPr>
        <w:pStyle w:val="Normal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в территориальный орган соответствующего федерального органа исполнительной власти, осуществляющего государственный контроль (надзор) в установленной сфере деятельности, если несчастный случай произошел в организации или на объекте, подконтрольных этому органу;</w:t>
      </w:r>
    </w:p>
    <w:p>
      <w:pPr>
        <w:pStyle w:val="Normal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в исполнительный орган страховщика по вопросам обязательного социального страхования от несчастных случаев на производстве и профессиональных заболеваний по месту регистрации работодателя в качестве страхователя (далее - исполнительный орган страховщика по месту регистрации работодателя в качестве страхователя);</w:t>
      </w:r>
    </w:p>
    <w:p>
      <w:pPr>
        <w:pStyle w:val="Normal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в соответствующий федеральный орган исполнительной власти, если несчастный случай произошел в подведомственной ему организации.</w:t>
      </w:r>
    </w:p>
    <w:p>
      <w:pPr>
        <w:pStyle w:val="Normal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При групповом несчастном случае, тяжелом несчастном случае или несчастном случае со смертельным исходом работодатель (его представитель) в течение суток также обязан направить извещение по установленной форме в соответствующее территориальное объединение организаций профсоюзов.</w:t>
      </w:r>
    </w:p>
    <w:p>
      <w:pPr>
        <w:pStyle w:val="Normal"/>
        <w:ind w:firstLine="709"/>
        <w:jc w:val="both"/>
        <w:rPr/>
      </w:pPr>
      <w:r>
        <w:rPr>
          <w:rFonts w:cs="Times New Roman" w:ascii="Times New Roman" w:hAnsi="Times New Roman"/>
        </w:rPr>
        <w:t xml:space="preserve">О несчастных случаях, которые по прошествии времени перешли в категорию тяжелых несчастных случаев или несчастных случаев со смертельным исходом, работодатель (его представитель) в течение трех календарных дней после получения сведений об этом направляет извещение по установленной </w:t>
      </w:r>
      <w:hyperlink r:id="rId3">
        <w:r>
          <w:rPr>
            <w:rStyle w:val="ListLabel2"/>
            <w:rFonts w:cs="Times New Roman" w:ascii="Times New Roman" w:hAnsi="Times New Roman"/>
            <w:color w:val="0000FF"/>
          </w:rPr>
          <w:t>форме</w:t>
        </w:r>
      </w:hyperlink>
      <w:r>
        <w:rPr>
          <w:rFonts w:cs="Times New Roman" w:ascii="Times New Roman" w:hAnsi="Times New Roman"/>
        </w:rPr>
        <w:t xml:space="preserve"> в соответствующие территориальный орган федерального органа исполнительной власти, уполномоченного на осуществление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территориальное объединение организаций профсоюзов и территориальный орган соответствующего федерального органа исполнительной власти, осуществляющего государственный контроль (надзор) в установленной сфере деятельности, если несчастный случай произошел в организации или на объекте, подконтрольных этому органу, а также в исполнительный орган страховщика по месту регистрации работодателя в качестве страхователя.</w:t>
      </w:r>
    </w:p>
    <w:p>
      <w:pPr>
        <w:pStyle w:val="Normal"/>
        <w:ind w:firstLine="709"/>
        <w:jc w:val="both"/>
        <w:rPr/>
      </w:pPr>
      <w:r>
        <w:rPr>
          <w:rFonts w:cs="Times New Roman" w:ascii="Times New Roman" w:hAnsi="Times New Roman"/>
        </w:rPr>
        <w:t xml:space="preserve">О случаях острого заболевания (отравления) работников, в отношении которого имеются основания предполагать, что его возникновение обусловлено воздействием вредных и (или) опасных производственных факторов, работодатель (его представитель) сообщает в соответствующий территориальный </w:t>
      </w:r>
      <w:hyperlink r:id="rId4">
        <w:r>
          <w:rPr>
            <w:rStyle w:val="ListLabel2"/>
            <w:rFonts w:cs="Times New Roman" w:ascii="Times New Roman" w:hAnsi="Times New Roman"/>
            <w:color w:val="0000FF"/>
          </w:rPr>
          <w:t>орган</w:t>
        </w:r>
      </w:hyperlink>
      <w:r>
        <w:rPr>
          <w:rFonts w:cs="Times New Roman" w:ascii="Times New Roman" w:hAnsi="Times New Roman"/>
        </w:rPr>
        <w:t xml:space="preserve"> федерального органа исполнительной власти, уполномоченного на осуществление федерального государственного санитарно-эпидемиологического надзора.</w:t>
      </w:r>
    </w:p>
    <w:p>
      <w:pPr>
        <w:pStyle w:val="Normal"/>
        <w:rPr>
          <w:rFonts w:ascii="Times New Roman" w:hAnsi="Times New Roman" w:eastAsia="Times New Roman" w:cs="Times New Roman"/>
          <w:color w:val="auto"/>
          <w:lang w:eastAsia="ru-RU"/>
        </w:rPr>
      </w:pPr>
      <w:r>
        <w:rPr>
          <w:rFonts w:eastAsia="Times New Roman" w:cs="Times New Roman" w:ascii="Times New Roman" w:hAnsi="Times New Roman"/>
          <w:color w:val="auto"/>
          <w:lang w:eastAsia="ru-RU"/>
        </w:rPr>
      </w:r>
    </w:p>
    <w:p>
      <w:pPr>
        <w:pStyle w:val="Normal"/>
        <w:ind w:firstLine="709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Как создать комиссию по расследованию несчастного случая, не связанного с производством.</w:t>
      </w:r>
    </w:p>
    <w:p>
      <w:pPr>
        <w:pStyle w:val="Normal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Квалифицируют несчастный случай как связанный или не связанный с производством (ст. 229.2 ТК): комиссия по расследованию несчастного случая; государственный инспектор труда. Состав комиссии определяется обстоятельствами дела.</w:t>
      </w:r>
    </w:p>
    <w:p>
      <w:pPr>
        <w:pStyle w:val="Normal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В комиссии должно быть нечетное количество членов, включая председателя. Согласно новым правилам (Приказ Минтруда России от 20.04.2022 № 223н), заменить участника комиссии можно только в определенных случаях: если он без уважительных причин уклонялся от работы в комиссии, не может исполнять свои обязанности из-за болезни, умер или уволился. Состав комиссии утвердите приказом, который следует издать в тот же день, когда произошел несчастный случай (ч. 1, 3 ст. 229 ТК). 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 xml:space="preserve">Документы расследования должны подтверждать каждый вывод членов комиссии, на основании которого они квалифицировали происшествие. В материалы дела должны входить (ст. 229.2 ТК РФ): </w:t>
      </w:r>
    </w:p>
    <w:p>
      <w:pPr>
        <w:pStyle w:val="Normal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- приказ о создании комиссии; </w:t>
      </w:r>
    </w:p>
    <w:p>
      <w:pPr>
        <w:pStyle w:val="Normal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- материалы осмотра места происшествия: схемы, протокол осмотра, фотографии и видеоматериалы и т. д. </w:t>
      </w:r>
    </w:p>
    <w:p>
      <w:pPr>
        <w:pStyle w:val="Normal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- документы, которые подтверждают наличие или отсутствие опасных и вредных производственных факторов (например, копия карты СОУТ); </w:t>
      </w:r>
    </w:p>
    <w:p>
      <w:pPr>
        <w:pStyle w:val="Normal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- медицинское заключение по форме № 315/у; </w:t>
      </w:r>
    </w:p>
    <w:p>
      <w:pPr>
        <w:pStyle w:val="Normal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- больничный лист пострадавшего (вероятно, что он будет с кодом 04); </w:t>
      </w:r>
    </w:p>
    <w:p>
      <w:pPr>
        <w:pStyle w:val="Normal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- справка о смерти, если пострадавший умер; </w:t>
      </w:r>
    </w:p>
    <w:p>
      <w:pPr>
        <w:pStyle w:val="Normal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- протокол опроса свидетелей происшествия и должностных лиц; </w:t>
      </w:r>
    </w:p>
    <w:p>
      <w:pPr>
        <w:pStyle w:val="Normal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- объяснительная записка пострадавшего; </w:t>
      </w:r>
    </w:p>
    <w:p>
      <w:pPr>
        <w:pStyle w:val="Normal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- документы, которые подтвердят прохождение обучения, инструктажей, выдачу СИЗ и т. д.; </w:t>
      </w:r>
    </w:p>
    <w:p>
      <w:pPr>
        <w:pStyle w:val="Normal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- результаты экспертизы на алкогольное, наркотическое или токсическое опьянение пострадавшего работника; </w:t>
      </w:r>
    </w:p>
    <w:p>
      <w:pPr>
        <w:pStyle w:val="Normal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- официальное решение правоохранительных органов, которое подтверждает вину пострадавшего, и другие документы и материалы, необходимые для расследования несчастного случая. </w:t>
      </w:r>
    </w:p>
    <w:p>
      <w:pPr>
        <w:pStyle w:val="Normal"/>
        <w:rPr>
          <w:rFonts w:ascii="Times New Roman" w:hAnsi="Times New Roman" w:eastAsia="Times New Roman" w:cs="Times New Roman"/>
          <w:color w:val="auto"/>
          <w:lang w:eastAsia="ru-RU"/>
        </w:rPr>
      </w:pPr>
      <w:r>
        <w:rPr>
          <w:rFonts w:eastAsia="Times New Roman" w:cs="Times New Roman" w:ascii="Times New Roman" w:hAnsi="Times New Roman"/>
          <w:color w:val="auto"/>
          <w:lang w:eastAsia="ru-RU"/>
        </w:rPr>
      </w:r>
    </w:p>
    <w:p>
      <w:pPr>
        <w:pStyle w:val="Normal"/>
        <w:ind w:firstLine="709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Как составить акт о несчастном случае, не связанном с производством.</w:t>
      </w:r>
    </w:p>
    <w:p>
      <w:pPr>
        <w:pStyle w:val="Normal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Если несчастный случай квалифицировали как не связанный с производством, комиссия должна составить акт о расследовании несчастного случая по установленной форме (ч.8 ст. 230 ТК РФ). Используйте форму 5 акта «О расследовании группового несчастного случая, тяжелого несчастного случая, несчастного случая со смертельным исходом», утвержденную Приказом Минтруда России от 20.04.2022 № 223н. В ней предусмотрен специальный пункт 11 — «Квалификация и учет несчастного случая» (обратите внимание, что в старой форме это был пункт 7). </w:t>
      </w:r>
    </w:p>
    <w:p>
      <w:pPr>
        <w:pStyle w:val="Normal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ind w:firstLine="709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Как оповестить о результатах расследования соответствующие органы.</w:t>
      </w:r>
    </w:p>
    <w:p>
      <w:pPr>
        <w:pStyle w:val="Normal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Если несчастный случай относится к категории легких, а комиссия не связала его с производством, оповещать о нем ФСС России не нужно. Это не страховой случай. Если происшествие относится к категории группового, тяжелого или смертельного несчастного случая, то в течение 10 дней нужно направить сообщение в ГИТ о последствиях несчастного случая и о том, какие меры вы приняли. Срок считайте с момента, когда работник вышел с больничного и ему поставили окончательный диагноз или комиссия закончила расследование — смотря что произошло позже. Если несчастный случай закончился гибелью работника, отправить документы в ГИТ нужно в течение месяца с даты, когда закончилось расследование. Сообщение необходимо подготовить в двух экземплярах, один из которых подается в трудовую инспекцию, а второй — в местный орган федерального надзора по роду деятельности организации. Если случай является страховым, то еще один экземпляр подается в орган ФСС. 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Сколько лет хранить материалы расследования.</w:t>
      </w:r>
      <w:r>
        <w:rPr>
          <w:rFonts w:cs="Times New Roman" w:ascii="Times New Roman" w:hAnsi="Times New Roman"/>
        </w:rPr>
        <w:t xml:space="preserve"> </w:t>
      </w:r>
    </w:p>
    <w:p>
      <w:pPr>
        <w:pStyle w:val="Normal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Пострадавший может быть не согласен с решением комиссии по расследованию несчастного случая. Если сотрудник уверен, что происшествие связано с производством, он имеет право оспорить результаты. Причем закон не ограничивает его в сроках. Храните акт о расследовании несчастного случая и все связанные с ним материалы 45 лет (п. 32 Положения о расследовании несчастных случаев, утвержденного Приказом Минтруда России от 20.04.2022 № 223н). Заносить информацию о несчастном случае, не связанном с производством, в журнал регистрации несчастных случаев на производстве не нужно.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Какая ответственность грозит, если скрыть несчастный случай.</w:t>
      </w:r>
    </w:p>
    <w:p>
      <w:pPr>
        <w:pStyle w:val="Normal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Несчастный случай на производстве может стать поводом для внеплановой проверки ГИТ. По этой причине некоторые работодатели пытаются скрыть несчастные случаи на производстве или оформить их как не связанные с производством. Это грозит следующим наказанием: </w:t>
      </w:r>
    </w:p>
    <w:p>
      <w:pPr>
        <w:pStyle w:val="Normal"/>
        <w:ind w:firstLine="709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Ответственность работодателя за несчастный случай с работником</w:t>
      </w:r>
    </w:p>
    <w:tbl>
      <w:tblPr>
        <w:tblStyle w:val="a5"/>
        <w:tblW w:w="9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392"/>
        <w:gridCol w:w="2393"/>
        <w:gridCol w:w="2392"/>
        <w:gridCol w:w="2393"/>
      </w:tblGrid>
      <w:tr>
        <w:trPr/>
        <w:tc>
          <w:tcPr>
            <w:tcW w:w="2392" w:type="dxa"/>
            <w:tcBorders/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178" w:type="dxa"/>
            <w:gridSpan w:val="3"/>
            <w:tcBorders/>
            <w:shd w:fill="auto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Ответственность</w:t>
            </w:r>
          </w:p>
        </w:tc>
      </w:tr>
      <w:tr>
        <w:trPr/>
        <w:tc>
          <w:tcPr>
            <w:tcW w:w="2392" w:type="dxa"/>
            <w:tcBorders/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Нарушение</w:t>
            </w:r>
          </w:p>
        </w:tc>
        <w:tc>
          <w:tcPr>
            <w:tcW w:w="2393" w:type="dxa"/>
            <w:tcBorders/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Должностное лицо</w:t>
            </w:r>
          </w:p>
        </w:tc>
        <w:tc>
          <w:tcPr>
            <w:tcW w:w="2392" w:type="dxa"/>
            <w:tcBorders/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Организация</w:t>
            </w:r>
          </w:p>
        </w:tc>
        <w:tc>
          <w:tcPr>
            <w:tcW w:w="2393" w:type="dxa"/>
            <w:tcBorders/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Индивидуальный предприниматель</w:t>
            </w:r>
          </w:p>
        </w:tc>
      </w:tr>
      <w:tr>
        <w:trPr/>
        <w:tc>
          <w:tcPr>
            <w:tcW w:w="2392" w:type="dxa"/>
            <w:tcBorders/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Сокрытие несчастного случая с застрахованным работником (ст. 15.34 КоАП РФ)</w:t>
            </w:r>
          </w:p>
        </w:tc>
        <w:tc>
          <w:tcPr>
            <w:tcW w:w="2393" w:type="dxa"/>
            <w:tcBorders/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Штраф от 500 до 1000 рублей</w:t>
            </w:r>
          </w:p>
        </w:tc>
        <w:tc>
          <w:tcPr>
            <w:tcW w:w="2392" w:type="dxa"/>
            <w:tcBorders/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Штраф от от 5000 до 10 000 рублей</w:t>
            </w:r>
          </w:p>
        </w:tc>
        <w:tc>
          <w:tcPr>
            <w:tcW w:w="2393" w:type="dxa"/>
            <w:tcBorders/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Штраф от 500 до 1000 рублей</w:t>
            </w:r>
          </w:p>
        </w:tc>
      </w:tr>
      <w:tr>
        <w:trPr/>
        <w:tc>
          <w:tcPr>
            <w:tcW w:w="2392" w:type="dxa"/>
            <w:tcBorders/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Нарушение требований охраны труда (в том числе, неправильное расследование несчастного случая) (ст. 5.27 КоАП РФ)</w:t>
            </w:r>
          </w:p>
        </w:tc>
        <w:tc>
          <w:tcPr>
            <w:tcW w:w="2393" w:type="dxa"/>
            <w:tcBorders/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Штраф от 1000 до 5000 рублей</w:t>
            </w:r>
          </w:p>
        </w:tc>
        <w:tc>
          <w:tcPr>
            <w:tcW w:w="2392" w:type="dxa"/>
            <w:tcBorders/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Штраф от 30 000 до 50 000 рублей или приостановление деятельности на срок до 90 суток</w:t>
            </w:r>
          </w:p>
        </w:tc>
        <w:tc>
          <w:tcPr>
            <w:tcW w:w="2393" w:type="dxa"/>
            <w:tcBorders/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Штраф от 1000 до 5000 рублей или приостановление деятельности на срок до 90 суток</w:t>
            </w:r>
          </w:p>
          <w:p>
            <w:pPr>
              <w:pStyle w:val="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pStyle w:val="Normal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 Unicode MS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 Unicode MS" w:hAnsi="Arial Unicode MS" w:eastAsia="Arial Unicode MS" w:cs="Arial Unicode MS"/>
        <w:color w:val="000000"/>
        <w:sz w:val="24"/>
        <w:szCs w:val="24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3400a"/>
    <w:pPr>
      <w:widowControl/>
      <w:bidi w:val="0"/>
      <w:jc w:val="left"/>
    </w:pPr>
    <w:rPr>
      <w:rFonts w:ascii="Arial Unicode MS" w:hAnsi="Arial Unicode MS" w:eastAsia="Arial Unicode MS" w:cs="Arial Unicode MS"/>
      <w:color w:val="000000"/>
      <w:kern w:val="0"/>
      <w:sz w:val="24"/>
      <w:szCs w:val="24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48643f"/>
    <w:rPr>
      <w:color w:val="0000FF"/>
      <w:u w:val="single"/>
    </w:rPr>
  </w:style>
  <w:style w:type="character" w:styleId="ListLabel1">
    <w:name w:val="ListLabel 1"/>
    <w:qFormat/>
    <w:rPr>
      <w:rFonts w:ascii="Times New Roman" w:hAnsi="Times New Roman" w:cs="Times New Roman"/>
      <w:b/>
    </w:rPr>
  </w:style>
  <w:style w:type="character" w:styleId="ListLabel2">
    <w:name w:val="ListLabel 2"/>
    <w:qFormat/>
    <w:rPr>
      <w:rFonts w:ascii="Times New Roman" w:hAnsi="Times New Roman" w:cs="Times New Roman"/>
      <w:color w:val="0000FF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semiHidden/>
    <w:unhideWhenUsed/>
    <w:qFormat/>
    <w:rsid w:val="0048643f"/>
    <w:pPr>
      <w:spacing w:beforeAutospacing="1" w:afterAutospacing="1"/>
    </w:pPr>
    <w:rPr>
      <w:rFonts w:ascii="Times New Roman" w:hAnsi="Times New Roman" w:eastAsia="Times New Roman" w:cs="Times New Roman"/>
      <w:color w:val="auto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032774"/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=44E9298BF81B267F84BFC43EC19451A8978B3163CDAF487954E55CE4E676B619D37235F2D8097C2A228C24C087CF4229A47FAE777B932C1ClAu5I" TargetMode="External"/><Relationship Id="rId3" Type="http://schemas.openxmlformats.org/officeDocument/2006/relationships/hyperlink" Target="consultantplus://offline/ref=04A8D76BC5735AD70BC7DDC954E475164003A061DF076CE3EE4D00836F59A9F65D475A5E42CE6D73CA203D15268A690E6BA6C287D26CE8C8a4w4I" TargetMode="External"/><Relationship Id="rId4" Type="http://schemas.openxmlformats.org/officeDocument/2006/relationships/hyperlink" Target="consultantplus://offline/ref=04A8D76BC5735AD70BC7DDC954E47516470BAF64D6026CE3EE4D00836F59A9F65D475A5E42CE6D75CE203D15268A690E6BA6C287D26CE8C8a4w4I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Application>LibreOffice/6.2.2.2$Windows_X86_64 LibreOffice_project/2b840030fec2aae0fd2658d8d4f9548af4e3518d</Application>
  <Pages>3</Pages>
  <Words>1292</Words>
  <Characters>8824</Characters>
  <CharactersWithSpaces>10083</CharactersWithSpaces>
  <Paragraphs>66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2023-02-14T08:40:00Z</dcterms:created>
  <dc:creator>anciferova_ev</dc:creator>
  <dc:description/>
  <dc:language>ru-RU</dc:language>
  <cp:lastModifiedBy>anciferova_ev</cp:lastModifiedBy>
  <dcterms:modified xsi:type="dcterms:W3CDTF">2023-02-14T09:17:00Z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